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CA" w:rsidRPr="00E638CA" w:rsidRDefault="004D7EA3" w:rsidP="00E638CA">
      <w:pPr>
        <w:pStyle w:val="Encabezado"/>
        <w:jc w:val="center"/>
        <w:rPr>
          <w:b/>
          <w:sz w:val="24"/>
          <w:szCs w:val="24"/>
        </w:rPr>
      </w:pPr>
      <w:r w:rsidRPr="00E638CA">
        <w:rPr>
          <w:b/>
          <w:sz w:val="24"/>
          <w:szCs w:val="24"/>
        </w:rPr>
        <w:t>UNIDAD DE VENTANILLA ÚNICA DE LA SECRETARÍA DE OBRAS Y DESARROLLO URBANO</w:t>
      </w:r>
    </w:p>
    <w:p w:rsidR="004D7EA3" w:rsidRDefault="004D7EA3" w:rsidP="00E638CA">
      <w:pPr>
        <w:pStyle w:val="Encabezado"/>
        <w:jc w:val="center"/>
        <w:rPr>
          <w:b/>
          <w:sz w:val="24"/>
          <w:szCs w:val="24"/>
        </w:rPr>
      </w:pPr>
      <w:r w:rsidRPr="00E638CA">
        <w:rPr>
          <w:b/>
          <w:sz w:val="24"/>
          <w:szCs w:val="24"/>
        </w:rPr>
        <w:t>AVISO DE PRIVACIDAD SIMPLIFICADO</w:t>
      </w:r>
    </w:p>
    <w:p w:rsidR="00E638CA" w:rsidRPr="00E638CA" w:rsidRDefault="00E638CA" w:rsidP="00E638CA">
      <w:pPr>
        <w:pStyle w:val="Encabezado"/>
        <w:jc w:val="center"/>
        <w:rPr>
          <w:b/>
          <w:sz w:val="24"/>
          <w:szCs w:val="24"/>
        </w:rPr>
      </w:pPr>
    </w:p>
    <w:p w:rsidR="00574049" w:rsidRPr="00E638CA" w:rsidRDefault="00574049" w:rsidP="00BA7357">
      <w:pPr>
        <w:spacing w:line="360" w:lineRule="auto"/>
        <w:jc w:val="both"/>
        <w:rPr>
          <w:sz w:val="24"/>
          <w:szCs w:val="24"/>
        </w:rPr>
      </w:pPr>
      <w:r w:rsidRPr="00E638CA">
        <w:rPr>
          <w:sz w:val="24"/>
          <w:szCs w:val="24"/>
        </w:rPr>
        <w:t xml:space="preserve">La Unidad de Ventanilla Única dependiente de la Secretaría de Obras </w:t>
      </w:r>
      <w:r w:rsidR="004D7EA3" w:rsidRPr="00E638CA">
        <w:rPr>
          <w:sz w:val="24"/>
          <w:szCs w:val="24"/>
        </w:rPr>
        <w:t>Públicas</w:t>
      </w:r>
      <w:r w:rsidRPr="00E638CA">
        <w:rPr>
          <w:sz w:val="24"/>
          <w:szCs w:val="24"/>
        </w:rPr>
        <w:t xml:space="preserve"> y Desarrollo</w:t>
      </w:r>
      <w:r w:rsidR="00BA7357" w:rsidRPr="00E638CA">
        <w:rPr>
          <w:sz w:val="24"/>
          <w:szCs w:val="24"/>
        </w:rPr>
        <w:t xml:space="preserve"> </w:t>
      </w:r>
      <w:r w:rsidRPr="00E638CA">
        <w:rPr>
          <w:sz w:val="24"/>
          <w:szCs w:val="24"/>
        </w:rPr>
        <w:t>Urbano del H. Ayuntamiento de Oaxaca de Juárez, es el responsable del tratamiento de los</w:t>
      </w:r>
      <w:r w:rsidR="00BA7357" w:rsidRPr="00E638CA">
        <w:rPr>
          <w:sz w:val="24"/>
          <w:szCs w:val="24"/>
        </w:rPr>
        <w:t xml:space="preserve"> </w:t>
      </w:r>
      <w:r w:rsidRPr="00E638CA">
        <w:rPr>
          <w:sz w:val="24"/>
          <w:szCs w:val="24"/>
        </w:rPr>
        <w:t>datos personales que nos proporcione.</w:t>
      </w:r>
    </w:p>
    <w:p w:rsidR="00BA7357" w:rsidRPr="00E638CA" w:rsidRDefault="00574049" w:rsidP="00BA7357">
      <w:pPr>
        <w:spacing w:line="360" w:lineRule="auto"/>
        <w:jc w:val="both"/>
        <w:rPr>
          <w:sz w:val="24"/>
          <w:szCs w:val="24"/>
        </w:rPr>
      </w:pPr>
      <w:r w:rsidRPr="00E638CA">
        <w:rPr>
          <w:sz w:val="24"/>
          <w:szCs w:val="24"/>
        </w:rPr>
        <w:t>Los datos personales que usted nos proporcione serán utilizados para los siguientes fines:</w:t>
      </w:r>
      <w:r w:rsidR="00BA7357" w:rsidRPr="00E638CA">
        <w:rPr>
          <w:sz w:val="24"/>
          <w:szCs w:val="24"/>
        </w:rPr>
        <w:t xml:space="preserve"> </w:t>
      </w:r>
    </w:p>
    <w:p w:rsidR="00574049" w:rsidRPr="00E638CA" w:rsidRDefault="00574049" w:rsidP="00BA7357">
      <w:pPr>
        <w:spacing w:line="360" w:lineRule="auto"/>
        <w:jc w:val="both"/>
        <w:rPr>
          <w:sz w:val="24"/>
          <w:szCs w:val="24"/>
        </w:rPr>
      </w:pPr>
      <w:r w:rsidRPr="00E638CA">
        <w:rPr>
          <w:sz w:val="24"/>
          <w:szCs w:val="24"/>
        </w:rPr>
        <w:t>Revisión jurídica y/o revisión técnica para recepción de solicitudes de alineamiento, uso de</w:t>
      </w:r>
      <w:r w:rsidR="00BA7357" w:rsidRPr="00E638CA">
        <w:rPr>
          <w:sz w:val="24"/>
          <w:szCs w:val="24"/>
        </w:rPr>
        <w:t xml:space="preserve"> </w:t>
      </w:r>
      <w:r w:rsidRPr="00E638CA">
        <w:rPr>
          <w:sz w:val="24"/>
          <w:szCs w:val="24"/>
        </w:rPr>
        <w:t>suelo y número oficial, fusiones y subdivisiones, número oficial uso de suelo comercial para</w:t>
      </w:r>
      <w:r w:rsidR="00BA7357" w:rsidRPr="00E638CA">
        <w:rPr>
          <w:sz w:val="24"/>
          <w:szCs w:val="24"/>
        </w:rPr>
        <w:t xml:space="preserve"> </w:t>
      </w:r>
      <w:r w:rsidRPr="00E638CA">
        <w:rPr>
          <w:sz w:val="24"/>
          <w:szCs w:val="24"/>
        </w:rPr>
        <w:t>inicio de operaciones, licencias de obra mayor (obra nueva, regularización, modificación,</w:t>
      </w:r>
      <w:r w:rsidR="00BA7357" w:rsidRPr="00E638CA">
        <w:rPr>
          <w:sz w:val="24"/>
          <w:szCs w:val="24"/>
        </w:rPr>
        <w:t xml:space="preserve"> </w:t>
      </w:r>
      <w:r w:rsidRPr="00E638CA">
        <w:rPr>
          <w:sz w:val="24"/>
          <w:szCs w:val="24"/>
        </w:rPr>
        <w:t>ampliación y licencia de régimen en condominio) renovación de licencia de obra mayor y</w:t>
      </w:r>
      <w:r w:rsidR="00BA7357" w:rsidRPr="00E638CA">
        <w:rPr>
          <w:sz w:val="24"/>
          <w:szCs w:val="24"/>
        </w:rPr>
        <w:t xml:space="preserve"> </w:t>
      </w:r>
      <w:r w:rsidRPr="00E638CA">
        <w:rPr>
          <w:sz w:val="24"/>
          <w:szCs w:val="24"/>
        </w:rPr>
        <w:t>obra menor, licencia de obra menor reparaciones generales (cambio de techumbre,</w:t>
      </w:r>
      <w:r w:rsidR="00BA7357" w:rsidRPr="00E638CA">
        <w:rPr>
          <w:sz w:val="24"/>
          <w:szCs w:val="24"/>
        </w:rPr>
        <w:t xml:space="preserve"> </w:t>
      </w:r>
      <w:r w:rsidRPr="00E638CA">
        <w:rPr>
          <w:sz w:val="24"/>
          <w:szCs w:val="24"/>
        </w:rPr>
        <w:t>terracerías y pavimentos, corte de terreno, demolición, remodelación de interiores, galera,</w:t>
      </w:r>
      <w:r w:rsidR="00BA7357" w:rsidRPr="00E638CA">
        <w:rPr>
          <w:sz w:val="24"/>
          <w:szCs w:val="24"/>
        </w:rPr>
        <w:t xml:space="preserve"> </w:t>
      </w:r>
      <w:r w:rsidRPr="00E638CA">
        <w:rPr>
          <w:sz w:val="24"/>
          <w:szCs w:val="24"/>
        </w:rPr>
        <w:t>remodelación de fachada), tramites de terminación, avance parcial y suspensión de obra</w:t>
      </w:r>
      <w:r w:rsidR="00BA7357" w:rsidRPr="00E638CA">
        <w:rPr>
          <w:sz w:val="24"/>
          <w:szCs w:val="24"/>
        </w:rPr>
        <w:t xml:space="preserve"> </w:t>
      </w:r>
      <w:r w:rsidRPr="00E638CA">
        <w:rPr>
          <w:sz w:val="24"/>
          <w:szCs w:val="24"/>
        </w:rPr>
        <w:t>otorgadas por la Dirección de Planeación Urbana y Licencias.</w:t>
      </w:r>
    </w:p>
    <w:p w:rsidR="00BA7357" w:rsidRPr="00E638CA" w:rsidRDefault="00574049" w:rsidP="00BA7357">
      <w:pPr>
        <w:spacing w:line="360" w:lineRule="auto"/>
        <w:jc w:val="both"/>
        <w:rPr>
          <w:sz w:val="24"/>
          <w:szCs w:val="24"/>
        </w:rPr>
      </w:pPr>
      <w:r w:rsidRPr="00E638CA">
        <w:rPr>
          <w:sz w:val="24"/>
          <w:szCs w:val="24"/>
        </w:rPr>
        <w:t>Para la Dirección del Centro Histórico y Patrimonio Mundial: Licencia de obra menor,</w:t>
      </w:r>
      <w:r w:rsidR="00BA7357" w:rsidRPr="00E638CA">
        <w:rPr>
          <w:sz w:val="24"/>
          <w:szCs w:val="24"/>
        </w:rPr>
        <w:t xml:space="preserve"> </w:t>
      </w:r>
      <w:r w:rsidRPr="00E638CA">
        <w:rPr>
          <w:sz w:val="24"/>
          <w:szCs w:val="24"/>
        </w:rPr>
        <w:t>Licencia de construcción en zona de monumentos, Licencia de construcción en zona de</w:t>
      </w:r>
      <w:r w:rsidR="00BA7357" w:rsidRPr="00E638CA">
        <w:rPr>
          <w:sz w:val="24"/>
          <w:szCs w:val="24"/>
        </w:rPr>
        <w:t xml:space="preserve"> </w:t>
      </w:r>
      <w:r w:rsidRPr="00E638CA">
        <w:rPr>
          <w:sz w:val="24"/>
          <w:szCs w:val="24"/>
        </w:rPr>
        <w:t>transición, Renovación de licencia de construcción en zona de monumentos, Renovación de</w:t>
      </w:r>
      <w:r w:rsidR="00BA7357" w:rsidRPr="00E638CA">
        <w:rPr>
          <w:sz w:val="24"/>
          <w:szCs w:val="24"/>
        </w:rPr>
        <w:t xml:space="preserve"> </w:t>
      </w:r>
      <w:r w:rsidRPr="00E638CA">
        <w:rPr>
          <w:sz w:val="24"/>
          <w:szCs w:val="24"/>
        </w:rPr>
        <w:t>licencia de construcción en zona de transición, Suspensión temporal de la obra, terminación</w:t>
      </w:r>
      <w:r w:rsidR="00BA7357" w:rsidRPr="00E638CA">
        <w:rPr>
          <w:sz w:val="24"/>
          <w:szCs w:val="24"/>
        </w:rPr>
        <w:t xml:space="preserve"> </w:t>
      </w:r>
      <w:r w:rsidRPr="00E638CA">
        <w:rPr>
          <w:sz w:val="24"/>
          <w:szCs w:val="24"/>
        </w:rPr>
        <w:t>de obra, cambio de D.R.O., retiro de responsiva y cancelación de licencia/tramite en zona</w:t>
      </w:r>
      <w:r w:rsidR="00BA7357" w:rsidRPr="00E638CA">
        <w:rPr>
          <w:sz w:val="24"/>
          <w:szCs w:val="24"/>
        </w:rPr>
        <w:t xml:space="preserve"> </w:t>
      </w:r>
      <w:r w:rsidRPr="00E638CA">
        <w:rPr>
          <w:sz w:val="24"/>
          <w:szCs w:val="24"/>
        </w:rPr>
        <w:t>de monumentos, Suspensión temporal de la obra, terminación de obra, cambio de D.R.O.,</w:t>
      </w:r>
      <w:r w:rsidR="00BA7357" w:rsidRPr="00E638CA">
        <w:rPr>
          <w:sz w:val="24"/>
          <w:szCs w:val="24"/>
        </w:rPr>
        <w:t xml:space="preserve"> </w:t>
      </w:r>
      <w:r w:rsidRPr="00E638CA">
        <w:rPr>
          <w:sz w:val="24"/>
          <w:szCs w:val="24"/>
        </w:rPr>
        <w:t>retiro de responsiva y cancelación de Licencia/tramite en zona de transición, Licencia de</w:t>
      </w:r>
      <w:r w:rsidR="00BA7357" w:rsidRPr="00E638CA">
        <w:rPr>
          <w:sz w:val="24"/>
          <w:szCs w:val="24"/>
        </w:rPr>
        <w:t xml:space="preserve"> </w:t>
      </w:r>
      <w:r w:rsidRPr="00E638CA">
        <w:rPr>
          <w:sz w:val="24"/>
          <w:szCs w:val="24"/>
        </w:rPr>
        <w:t>liberación en zona de transición, Licencia de liberación en zona de monumentos,</w:t>
      </w:r>
      <w:r w:rsidR="00BA7357" w:rsidRPr="00E638CA">
        <w:rPr>
          <w:sz w:val="24"/>
          <w:szCs w:val="24"/>
        </w:rPr>
        <w:t xml:space="preserve"> </w:t>
      </w:r>
      <w:r w:rsidRPr="00E638CA">
        <w:rPr>
          <w:sz w:val="24"/>
          <w:szCs w:val="24"/>
        </w:rPr>
        <w:t>Alineamiento, número oficial y uso de suelo, Vigencia de alineamiento hasta 5 años de</w:t>
      </w:r>
      <w:r w:rsidR="00BA7357" w:rsidRPr="00E638CA">
        <w:rPr>
          <w:sz w:val="24"/>
          <w:szCs w:val="24"/>
        </w:rPr>
        <w:t xml:space="preserve"> </w:t>
      </w:r>
      <w:r w:rsidRPr="00E638CA">
        <w:rPr>
          <w:sz w:val="24"/>
          <w:szCs w:val="24"/>
        </w:rPr>
        <w:t>antigüedad, Reparaciones generales, Reparaciones generales zona de monumentos,</w:t>
      </w:r>
      <w:r w:rsidR="00BA7357" w:rsidRPr="00E638CA">
        <w:rPr>
          <w:sz w:val="24"/>
          <w:szCs w:val="24"/>
        </w:rPr>
        <w:t xml:space="preserve"> </w:t>
      </w:r>
      <w:r w:rsidRPr="00E638CA">
        <w:rPr>
          <w:sz w:val="24"/>
          <w:szCs w:val="24"/>
        </w:rPr>
        <w:lastRenderedPageBreak/>
        <w:t>Licencia para cisterna, Ruptura y reposición de banqueta, Subestación eléctrica, Licencia de</w:t>
      </w:r>
      <w:r w:rsidR="00BA7357" w:rsidRPr="00E638CA">
        <w:rPr>
          <w:sz w:val="24"/>
          <w:szCs w:val="24"/>
        </w:rPr>
        <w:t xml:space="preserve"> </w:t>
      </w:r>
      <w:r w:rsidRPr="00E638CA">
        <w:rPr>
          <w:sz w:val="24"/>
          <w:szCs w:val="24"/>
        </w:rPr>
        <w:t xml:space="preserve">subdivisión o fusión de inmuebles en la zona de transición, Licencia de subdivisión o </w:t>
      </w:r>
    </w:p>
    <w:p w:rsidR="00BA7357" w:rsidRPr="00E638CA" w:rsidRDefault="00BA7357" w:rsidP="00BA7357">
      <w:pPr>
        <w:spacing w:line="360" w:lineRule="auto"/>
        <w:jc w:val="both"/>
        <w:rPr>
          <w:sz w:val="24"/>
          <w:szCs w:val="24"/>
        </w:rPr>
      </w:pPr>
    </w:p>
    <w:p w:rsidR="006911F9" w:rsidRPr="00E638CA" w:rsidRDefault="00574049" w:rsidP="00BA7357">
      <w:pPr>
        <w:spacing w:line="360" w:lineRule="auto"/>
        <w:jc w:val="both"/>
        <w:rPr>
          <w:sz w:val="24"/>
          <w:szCs w:val="24"/>
        </w:rPr>
      </w:pPr>
      <w:r w:rsidRPr="00E638CA">
        <w:rPr>
          <w:sz w:val="24"/>
          <w:szCs w:val="24"/>
        </w:rPr>
        <w:t>fusión</w:t>
      </w:r>
      <w:r w:rsidR="00BA7357" w:rsidRPr="00E638CA">
        <w:rPr>
          <w:sz w:val="24"/>
          <w:szCs w:val="24"/>
        </w:rPr>
        <w:t xml:space="preserve"> </w:t>
      </w:r>
      <w:r w:rsidRPr="00E638CA">
        <w:rPr>
          <w:sz w:val="24"/>
          <w:szCs w:val="24"/>
        </w:rPr>
        <w:t>de inmuebles en la zona de monumentos, Licencia de subdivisión en régimen de</w:t>
      </w:r>
      <w:r w:rsidR="00BA7357" w:rsidRPr="00E638CA">
        <w:rPr>
          <w:sz w:val="24"/>
          <w:szCs w:val="24"/>
        </w:rPr>
        <w:t xml:space="preserve"> </w:t>
      </w:r>
      <w:r w:rsidRPr="00E638CA">
        <w:rPr>
          <w:sz w:val="24"/>
          <w:szCs w:val="24"/>
        </w:rPr>
        <w:t>condominio en zona de transición, Licencia de subdivisión en régimen de condominio en</w:t>
      </w:r>
      <w:r w:rsidR="00BA7357" w:rsidRPr="00E638CA">
        <w:rPr>
          <w:sz w:val="24"/>
          <w:szCs w:val="24"/>
        </w:rPr>
        <w:t xml:space="preserve"> </w:t>
      </w:r>
      <w:r w:rsidRPr="00E638CA">
        <w:rPr>
          <w:sz w:val="24"/>
          <w:szCs w:val="24"/>
        </w:rPr>
        <w:t>zona de monumentos, Autorización para uso de la vía pública, Uso de suelo comercial,</w:t>
      </w:r>
      <w:r w:rsidR="00BA7357" w:rsidRPr="00E638CA">
        <w:rPr>
          <w:sz w:val="24"/>
          <w:szCs w:val="24"/>
        </w:rPr>
        <w:t xml:space="preserve"> </w:t>
      </w:r>
      <w:r w:rsidRPr="00E638CA">
        <w:rPr>
          <w:sz w:val="24"/>
          <w:szCs w:val="24"/>
        </w:rPr>
        <w:t>Autorización para anuncio o letrero, Autorización para pintura, Autorización para toldo, Uso</w:t>
      </w:r>
      <w:r w:rsidR="00BA7357" w:rsidRPr="00E638CA">
        <w:rPr>
          <w:sz w:val="24"/>
          <w:szCs w:val="24"/>
        </w:rPr>
        <w:t xml:space="preserve"> </w:t>
      </w:r>
      <w:r w:rsidRPr="00E638CA">
        <w:rPr>
          <w:sz w:val="24"/>
          <w:szCs w:val="24"/>
        </w:rPr>
        <w:t>de suelo comercial para servicio de restaurante con venta de cerveza vinos y licores solo</w:t>
      </w:r>
      <w:r w:rsidR="00BA7357" w:rsidRPr="00E638CA">
        <w:rPr>
          <w:sz w:val="24"/>
          <w:szCs w:val="24"/>
        </w:rPr>
        <w:t xml:space="preserve"> </w:t>
      </w:r>
      <w:r w:rsidRPr="00E638CA">
        <w:rPr>
          <w:sz w:val="24"/>
          <w:szCs w:val="24"/>
        </w:rPr>
        <w:t>con alimentos, Uso de suelo comercial para servicio de guardería, escuelas nivel preescolar,</w:t>
      </w:r>
      <w:r w:rsidR="00BA7357" w:rsidRPr="00E638CA">
        <w:rPr>
          <w:sz w:val="24"/>
          <w:szCs w:val="24"/>
        </w:rPr>
        <w:t xml:space="preserve"> </w:t>
      </w:r>
      <w:r w:rsidRPr="00E638CA">
        <w:rPr>
          <w:sz w:val="24"/>
          <w:szCs w:val="24"/>
        </w:rPr>
        <w:t>primaria, secundaria, preparatoria, universidad.</w:t>
      </w:r>
    </w:p>
    <w:p w:rsidR="00574049" w:rsidRPr="00E638CA" w:rsidRDefault="00574049" w:rsidP="00BA7357">
      <w:pPr>
        <w:spacing w:line="360" w:lineRule="auto"/>
        <w:jc w:val="both"/>
        <w:rPr>
          <w:sz w:val="24"/>
          <w:szCs w:val="24"/>
        </w:rPr>
      </w:pPr>
      <w:r w:rsidRPr="00E638CA">
        <w:rPr>
          <w:sz w:val="24"/>
          <w:szCs w:val="24"/>
        </w:rPr>
        <w:t>Aviso que se pone a su disposición en términos de lo dispuesto por el artículo 20 de la Ley</w:t>
      </w:r>
      <w:r w:rsidR="00BA7357" w:rsidRPr="00E638CA">
        <w:rPr>
          <w:sz w:val="24"/>
          <w:szCs w:val="24"/>
        </w:rPr>
        <w:t xml:space="preserve"> </w:t>
      </w:r>
      <w:r w:rsidRPr="00E638CA">
        <w:rPr>
          <w:sz w:val="24"/>
          <w:szCs w:val="24"/>
        </w:rPr>
        <w:t>de Protección de Datos Personales en Posesión de Sujetos Obligados del Estado de Oaxaca.</w:t>
      </w:r>
    </w:p>
    <w:p w:rsidR="00574049" w:rsidRPr="00E638CA" w:rsidRDefault="00574049" w:rsidP="00BA7357">
      <w:pPr>
        <w:spacing w:line="360" w:lineRule="auto"/>
        <w:jc w:val="both"/>
        <w:rPr>
          <w:sz w:val="24"/>
          <w:szCs w:val="24"/>
        </w:rPr>
      </w:pPr>
      <w:r w:rsidRPr="00E638CA">
        <w:rPr>
          <w:sz w:val="24"/>
          <w:szCs w:val="24"/>
        </w:rPr>
        <w:t xml:space="preserve">Usted podrá ejercer su Derecho de Acceso, Rectificación, Cancelación, Oposición y Portabilidad de sus datos personales (Derechos </w:t>
      </w:r>
      <w:proofErr w:type="spellStart"/>
      <w:r w:rsidRPr="00E638CA">
        <w:rPr>
          <w:sz w:val="24"/>
          <w:szCs w:val="24"/>
        </w:rPr>
        <w:t>ARCOP</w:t>
      </w:r>
      <w:proofErr w:type="spellEnd"/>
      <w:r w:rsidRPr="00E638CA">
        <w:rPr>
          <w:sz w:val="24"/>
          <w:szCs w:val="24"/>
        </w:rPr>
        <w:t>),</w:t>
      </w:r>
      <w:r w:rsidR="00037B53" w:rsidRPr="00037B53">
        <w:t xml:space="preserve"> </w:t>
      </w:r>
      <w:r w:rsidR="00037B53" w:rsidRPr="00037B53">
        <w:rPr>
          <w:sz w:val="24"/>
          <w:szCs w:val="24"/>
        </w:rPr>
        <w:t>a través de la Unidad de Transparencia, ubicada en Avenida Heroico Colegio Militar #909, Col: Reforma Oaxa</w:t>
      </w:r>
      <w:r w:rsidR="00037B53">
        <w:rPr>
          <w:sz w:val="24"/>
          <w:szCs w:val="24"/>
        </w:rPr>
        <w:t>ca de Juárez Oaxaca C.P. 68050,</w:t>
      </w:r>
      <w:bookmarkStart w:id="0" w:name="_GoBack"/>
      <w:bookmarkEnd w:id="0"/>
      <w:r w:rsidRPr="00E638CA">
        <w:rPr>
          <w:sz w:val="24"/>
          <w:szCs w:val="24"/>
        </w:rPr>
        <w:t xml:space="preserve"> a través del Portal del Municipio https://www.municipiodeoaxaca.gob.mx/, al correo electrónico jefe.unidadtransparencia_22- 24@municipiodeoaxaca.gob.mx , o al número telefónico 951 438 7428, de lunes a viernes de 09:00 a 17:00 horas.</w:t>
      </w:r>
    </w:p>
    <w:p w:rsidR="00574049" w:rsidRPr="00E638CA" w:rsidRDefault="00574049" w:rsidP="00BA7357">
      <w:pPr>
        <w:spacing w:line="360" w:lineRule="auto"/>
        <w:jc w:val="both"/>
        <w:rPr>
          <w:sz w:val="24"/>
          <w:szCs w:val="24"/>
        </w:rPr>
      </w:pPr>
      <w:r w:rsidRPr="00E638CA">
        <w:rPr>
          <w:sz w:val="24"/>
          <w:szCs w:val="24"/>
        </w:rPr>
        <w:t>Asimismo, el responsable no realizará la transferencia de datos personales que requieran</w:t>
      </w:r>
      <w:r w:rsidR="00BA7357" w:rsidRPr="00E638CA">
        <w:rPr>
          <w:sz w:val="24"/>
          <w:szCs w:val="24"/>
        </w:rPr>
        <w:t xml:space="preserve"> </w:t>
      </w:r>
      <w:r w:rsidRPr="00E638CA">
        <w:rPr>
          <w:sz w:val="24"/>
          <w:szCs w:val="24"/>
        </w:rPr>
        <w:t>consentimiento del titular de los datos, salvo a áreas de la Administración Pública Municipal</w:t>
      </w:r>
      <w:r w:rsidR="00BA7357" w:rsidRPr="00E638CA">
        <w:rPr>
          <w:sz w:val="24"/>
          <w:szCs w:val="24"/>
        </w:rPr>
        <w:t xml:space="preserve"> </w:t>
      </w:r>
      <w:r w:rsidRPr="00E638CA">
        <w:rPr>
          <w:sz w:val="24"/>
          <w:szCs w:val="24"/>
        </w:rPr>
        <w:t>que requieran dicha información para fines estadísticos o administrativos.</w:t>
      </w:r>
    </w:p>
    <w:p w:rsidR="00574049" w:rsidRPr="00E638CA" w:rsidRDefault="00574049" w:rsidP="00BA7357">
      <w:pPr>
        <w:spacing w:line="360" w:lineRule="auto"/>
        <w:jc w:val="both"/>
        <w:rPr>
          <w:sz w:val="24"/>
          <w:szCs w:val="24"/>
        </w:rPr>
      </w:pPr>
      <w:r w:rsidRPr="00E638CA">
        <w:rPr>
          <w:sz w:val="24"/>
          <w:szCs w:val="24"/>
        </w:rPr>
        <w:t>Podrá consultar el Aviso de Privacidad Integral del Municipio a través de la página:</w:t>
      </w:r>
      <w:r w:rsidR="00BA7357" w:rsidRPr="00E638CA">
        <w:rPr>
          <w:sz w:val="24"/>
          <w:szCs w:val="24"/>
        </w:rPr>
        <w:t xml:space="preserve"> </w:t>
      </w:r>
      <w:r w:rsidRPr="00E638CA">
        <w:rPr>
          <w:sz w:val="24"/>
          <w:szCs w:val="24"/>
        </w:rPr>
        <w:t>https://www.transparencia.municipiodeoaxaca.gob.mx/aviso-de-privacidad</w:t>
      </w:r>
    </w:p>
    <w:sectPr w:rsidR="00574049" w:rsidRPr="00E638CA" w:rsidSect="004D7EA3">
      <w:headerReference w:type="even" r:id="rId6"/>
      <w:headerReference w:type="first" r:id="rId7"/>
      <w:pgSz w:w="12240" w:h="15840"/>
      <w:pgMar w:top="1417" w:right="1701" w:bottom="1417" w:left="1701" w:header="25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78E" w:rsidRDefault="005D178E" w:rsidP="00574049">
      <w:pPr>
        <w:spacing w:after="0" w:line="240" w:lineRule="auto"/>
      </w:pPr>
      <w:r>
        <w:separator/>
      </w:r>
    </w:p>
  </w:endnote>
  <w:endnote w:type="continuationSeparator" w:id="0">
    <w:p w:rsidR="005D178E" w:rsidRDefault="005D178E" w:rsidP="0057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78E" w:rsidRDefault="005D178E" w:rsidP="00574049">
      <w:pPr>
        <w:spacing w:after="0" w:line="240" w:lineRule="auto"/>
      </w:pPr>
      <w:r>
        <w:separator/>
      </w:r>
    </w:p>
  </w:footnote>
  <w:footnote w:type="continuationSeparator" w:id="0">
    <w:p w:rsidR="005D178E" w:rsidRDefault="005D178E" w:rsidP="0057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EA3" w:rsidRDefault="005F2A5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105BEDD6" wp14:editId="31BFF599">
          <wp:simplePos x="0" y="0"/>
          <wp:positionH relativeFrom="column">
            <wp:posOffset>-1100455</wp:posOffset>
          </wp:positionH>
          <wp:positionV relativeFrom="paragraph">
            <wp:posOffset>-1676400</wp:posOffset>
          </wp:positionV>
          <wp:extent cx="7806267" cy="10105609"/>
          <wp:effectExtent l="0" t="0" r="444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6267" cy="1010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049" w:rsidRDefault="005F2A5A" w:rsidP="004D7EA3">
    <w:pPr>
      <w:pStyle w:val="Encabezado"/>
      <w:tabs>
        <w:tab w:val="left" w:pos="5387"/>
      </w:tabs>
      <w:jc w:val="center"/>
    </w:pPr>
    <w:r>
      <w:rPr>
        <w:noProof/>
        <w:lang w:eastAsia="es-MX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-1088602</wp:posOffset>
          </wp:positionH>
          <wp:positionV relativeFrom="paragraph">
            <wp:posOffset>-1645285</wp:posOffset>
          </wp:positionV>
          <wp:extent cx="7806267" cy="10105609"/>
          <wp:effectExtent l="0" t="0" r="444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892" cy="10111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49"/>
    <w:rsid w:val="00037B53"/>
    <w:rsid w:val="00055B7E"/>
    <w:rsid w:val="001C7C6E"/>
    <w:rsid w:val="002E4BDD"/>
    <w:rsid w:val="003402A1"/>
    <w:rsid w:val="004D7EA3"/>
    <w:rsid w:val="00574049"/>
    <w:rsid w:val="005D178E"/>
    <w:rsid w:val="005F2A5A"/>
    <w:rsid w:val="006911F9"/>
    <w:rsid w:val="008B678C"/>
    <w:rsid w:val="00AA1CED"/>
    <w:rsid w:val="00B22767"/>
    <w:rsid w:val="00BA7357"/>
    <w:rsid w:val="00C50EF9"/>
    <w:rsid w:val="00D2311D"/>
    <w:rsid w:val="00E6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5DCF4"/>
  <w15:chartTrackingRefBased/>
  <w15:docId w15:val="{CAEA8FB9-FF3D-4194-8387-D0F34B9B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049"/>
  </w:style>
  <w:style w:type="paragraph" w:styleId="Piedepgina">
    <w:name w:val="footer"/>
    <w:basedOn w:val="Normal"/>
    <w:link w:val="PiedepginaCar"/>
    <w:uiPriority w:val="99"/>
    <w:unhideWhenUsed/>
    <w:rsid w:val="00574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049"/>
  </w:style>
  <w:style w:type="character" w:styleId="nfasisintenso">
    <w:name w:val="Intense Emphasis"/>
    <w:basedOn w:val="Fuentedeprrafopredeter"/>
    <w:uiPriority w:val="21"/>
    <w:qFormat/>
    <w:rsid w:val="004D7EA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2</cp:revision>
  <dcterms:created xsi:type="dcterms:W3CDTF">2024-03-08T17:26:00Z</dcterms:created>
  <dcterms:modified xsi:type="dcterms:W3CDTF">2024-03-08T17:26:00Z</dcterms:modified>
</cp:coreProperties>
</file>